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1178" w14:textId="692952B0" w:rsidR="00972286" w:rsidRDefault="000138FF">
      <w:pPr>
        <w:rPr>
          <w:b/>
          <w:bCs/>
        </w:rPr>
      </w:pPr>
      <w:r>
        <w:rPr>
          <w:b/>
          <w:bCs/>
        </w:rPr>
        <w:t>Key Bikeability Data</w:t>
      </w:r>
    </w:p>
    <w:p w14:paraId="71561D66" w14:textId="53655162" w:rsidR="000138FF" w:rsidRDefault="000138FF">
      <w:r>
        <w:t xml:space="preserve">Using data and statistics can help show the impact of Bikeability. We all know that our cycle training is fantastic for children, </w:t>
      </w:r>
      <w:proofErr w:type="gramStart"/>
      <w:r>
        <w:t>families</w:t>
      </w:r>
      <w:proofErr w:type="gramEnd"/>
      <w:r>
        <w:t xml:space="preserve"> and schools, but the data proves that what we do has a positive impact on the people we teach to cycle. </w:t>
      </w:r>
    </w:p>
    <w:p w14:paraId="7490C63B" w14:textId="7723116B" w:rsidR="00C454D5" w:rsidRDefault="000138FF">
      <w:r>
        <w:t xml:space="preserve">Here are some of the latest key statistics from Bikeability for you to use when speaking to the media or writing press releases. If you need local data, please contact </w:t>
      </w:r>
      <w:hyperlink r:id="rId8">
        <w:r w:rsidRPr="33012B85">
          <w:rPr>
            <w:rStyle w:val="Hyperlink"/>
          </w:rPr>
          <w:t>hello@bikeabilitytrust.org</w:t>
        </w:r>
      </w:hyperlink>
      <w:r>
        <w:t xml:space="preserve"> and we can share delivery data from our the Bikeability Delivery Map. </w:t>
      </w:r>
    </w:p>
    <w:p w14:paraId="4DEF7CF7" w14:textId="14511933" w:rsidR="00C454D5" w:rsidRDefault="00C454D5">
      <w:pPr>
        <w:rPr>
          <w:b/>
          <w:bCs/>
        </w:rPr>
      </w:pPr>
      <w:r>
        <w:rPr>
          <w:b/>
          <w:bCs/>
        </w:rPr>
        <w:t xml:space="preserve">Funding </w:t>
      </w:r>
    </w:p>
    <w:p w14:paraId="697BFE35" w14:textId="0372BC8E" w:rsidR="00007B08" w:rsidRDefault="00C454D5" w:rsidP="00C454D5">
      <w:pPr>
        <w:pStyle w:val="ListParagraph"/>
        <w:numPr>
          <w:ilvl w:val="0"/>
          <w:numId w:val="6"/>
        </w:numPr>
      </w:pPr>
      <w:r>
        <w:t>I</w:t>
      </w:r>
      <w:r w:rsidRPr="00C454D5">
        <w:t>n 2022 the Bikeability Trust received a record £20 million from the Department for Transport to deliver cycle training.</w:t>
      </w:r>
    </w:p>
    <w:p w14:paraId="68E53D44" w14:textId="790293D3" w:rsidR="00007B08" w:rsidRPr="00007B08" w:rsidRDefault="00007B08">
      <w:pPr>
        <w:rPr>
          <w:b/>
          <w:bCs/>
        </w:rPr>
      </w:pPr>
      <w:r w:rsidRPr="00007B08">
        <w:rPr>
          <w:b/>
          <w:bCs/>
        </w:rPr>
        <w:t xml:space="preserve">Delivery </w:t>
      </w:r>
    </w:p>
    <w:p w14:paraId="08AA8A52" w14:textId="23DCA4A3" w:rsidR="000138FF" w:rsidRDefault="000138FF" w:rsidP="00EB430F">
      <w:pPr>
        <w:pStyle w:val="ListParagraph"/>
        <w:numPr>
          <w:ilvl w:val="0"/>
          <w:numId w:val="1"/>
        </w:numPr>
      </w:pPr>
      <w:r w:rsidRPr="00EB430F">
        <w:rPr>
          <w:b/>
          <w:bCs/>
        </w:rPr>
        <w:t>439,802</w:t>
      </w:r>
      <w:r w:rsidRPr="000138FF">
        <w:t xml:space="preserve"> people took part in Bikeability between April 2021 and March 2022</w:t>
      </w:r>
      <w:r w:rsidR="00EB430F">
        <w:t>, most of these were primary aged children taking part in Bikeability Level 1 and 2.</w:t>
      </w:r>
      <w:r w:rsidR="002E188E">
        <w:t xml:space="preserve"> This is broken down by region below: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672"/>
      </w:tblGrid>
      <w:tr w:rsidR="002E188E" w:rsidRPr="002E188E" w14:paraId="3E789E76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62FE45C7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Region</w:t>
            </w: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4FC7C90C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Number of places delivered</w:t>
            </w: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188E" w:rsidRPr="002E188E" w14:paraId="22A42921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DEDED"/>
            <w:vAlign w:val="bottom"/>
            <w:hideMark/>
          </w:tcPr>
          <w:p w14:paraId="3463EB30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 Anglia</w:t>
            </w: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DEDED"/>
            <w:vAlign w:val="bottom"/>
            <w:hideMark/>
          </w:tcPr>
          <w:p w14:paraId="78424D80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                  52,766  </w:t>
            </w:r>
          </w:p>
        </w:tc>
      </w:tr>
      <w:tr w:rsidR="002E188E" w:rsidRPr="002E188E" w14:paraId="06F969C1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0ECA93C2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 Midlands</w:t>
            </w: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0C9338DF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                  47,813  </w:t>
            </w:r>
          </w:p>
        </w:tc>
      </w:tr>
      <w:tr w:rsidR="002E188E" w:rsidRPr="002E188E" w14:paraId="31F7F193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DEDED"/>
            <w:vAlign w:val="bottom"/>
            <w:hideMark/>
          </w:tcPr>
          <w:p w14:paraId="295AC112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 East</w:t>
            </w:r>
            <w:proofErr w:type="gramEnd"/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DEDED"/>
            <w:vAlign w:val="bottom"/>
            <w:hideMark/>
          </w:tcPr>
          <w:p w14:paraId="19AD8C9C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                  20,572  </w:t>
            </w:r>
          </w:p>
        </w:tc>
      </w:tr>
      <w:tr w:rsidR="002E188E" w:rsidRPr="002E188E" w14:paraId="799E9031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0FFB5106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 West</w:t>
            </w:r>
            <w:proofErr w:type="gramEnd"/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376004A2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                  76,151  </w:t>
            </w:r>
          </w:p>
        </w:tc>
      </w:tr>
      <w:tr w:rsidR="002E188E" w:rsidRPr="002E188E" w14:paraId="2E765EA2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DEDED"/>
            <w:vAlign w:val="bottom"/>
            <w:hideMark/>
          </w:tcPr>
          <w:p w14:paraId="530EA3BB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South East</w:t>
            </w:r>
            <w:proofErr w:type="gramEnd"/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DEDED"/>
            <w:vAlign w:val="bottom"/>
            <w:hideMark/>
          </w:tcPr>
          <w:p w14:paraId="73AC278E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                  72,089  </w:t>
            </w:r>
          </w:p>
        </w:tc>
      </w:tr>
      <w:tr w:rsidR="002E188E" w:rsidRPr="002E188E" w14:paraId="4205D6C8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0E1943FF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gramStart"/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South West</w:t>
            </w:r>
            <w:proofErr w:type="gramEnd"/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7A524AA0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                  50,492  </w:t>
            </w:r>
          </w:p>
        </w:tc>
      </w:tr>
      <w:tr w:rsidR="002E188E" w:rsidRPr="002E188E" w14:paraId="37DF6421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DEDED"/>
            <w:vAlign w:val="bottom"/>
            <w:hideMark/>
          </w:tcPr>
          <w:p w14:paraId="750D9DD4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West Midlands</w:t>
            </w: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EDEDED"/>
            <w:vAlign w:val="bottom"/>
            <w:hideMark/>
          </w:tcPr>
          <w:p w14:paraId="266CD2CA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                  64,062  </w:t>
            </w:r>
          </w:p>
        </w:tc>
      </w:tr>
      <w:tr w:rsidR="002E188E" w:rsidRPr="002E188E" w14:paraId="7D7483EC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10110A2D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Yorkshire &amp; The Humber</w:t>
            </w: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78C01F0F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                  55,857  </w:t>
            </w:r>
          </w:p>
        </w:tc>
      </w:tr>
      <w:tr w:rsidR="002E188E" w:rsidRPr="002E188E" w14:paraId="0B3F7442" w14:textId="77777777" w:rsidTr="00007B08">
        <w:trPr>
          <w:trHeight w:val="270"/>
          <w:jc w:val="center"/>
        </w:trPr>
        <w:tc>
          <w:tcPr>
            <w:tcW w:w="28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79F5F023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vAlign w:val="bottom"/>
            <w:hideMark/>
          </w:tcPr>
          <w:p w14:paraId="6B0A7535" w14:textId="77777777" w:rsidR="002E188E" w:rsidRPr="002E188E" w:rsidRDefault="002E188E" w:rsidP="002E188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E18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                439,802</w:t>
            </w:r>
            <w:r w:rsidRPr="002E188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6617B8C" w14:textId="77777777" w:rsidR="00007B08" w:rsidRDefault="00007B08" w:rsidP="00007B08"/>
    <w:p w14:paraId="1CA3CBCB" w14:textId="3F15330F" w:rsidR="00007B08" w:rsidRPr="00007B08" w:rsidRDefault="00007B08" w:rsidP="00007B08">
      <w:pPr>
        <w:rPr>
          <w:b/>
          <w:bCs/>
        </w:rPr>
      </w:pPr>
      <w:r>
        <w:rPr>
          <w:b/>
          <w:bCs/>
        </w:rPr>
        <w:t xml:space="preserve">Innovation </w:t>
      </w:r>
    </w:p>
    <w:p w14:paraId="004D7837" w14:textId="3DB78102" w:rsidR="00EB430F" w:rsidRDefault="00EB430F" w:rsidP="00EB430F">
      <w:pPr>
        <w:pStyle w:val="ListParagraph"/>
        <w:numPr>
          <w:ilvl w:val="0"/>
          <w:numId w:val="1"/>
        </w:numPr>
      </w:pPr>
      <w:r>
        <w:rPr>
          <w:b/>
          <w:bCs/>
        </w:rPr>
        <w:t>4</w:t>
      </w:r>
      <w:r w:rsidR="00D40C1E">
        <w:rPr>
          <w:b/>
          <w:bCs/>
        </w:rPr>
        <w:t>3</w:t>
      </w:r>
      <w:r>
        <w:rPr>
          <w:b/>
          <w:bCs/>
        </w:rPr>
        <w:t xml:space="preserve"> projects </w:t>
      </w:r>
      <w:r>
        <w:t xml:space="preserve">received a share of the </w:t>
      </w:r>
      <w:r w:rsidRPr="00EB430F">
        <w:rPr>
          <w:b/>
          <w:bCs/>
        </w:rPr>
        <w:t>£1.6 million Widening Participation Fund</w:t>
      </w:r>
      <w:r>
        <w:t>, which is helping to remove the barriers to cycling.</w:t>
      </w:r>
    </w:p>
    <w:p w14:paraId="463727D6" w14:textId="7125EBEB" w:rsidR="00007B08" w:rsidRDefault="00EB430F" w:rsidP="33012B85">
      <w:pPr>
        <w:pStyle w:val="ListParagraph"/>
        <w:numPr>
          <w:ilvl w:val="0"/>
          <w:numId w:val="1"/>
        </w:numPr>
      </w:pPr>
      <w:r>
        <w:t xml:space="preserve">More than </w:t>
      </w:r>
      <w:r w:rsidRPr="33012B85">
        <w:rPr>
          <w:b/>
          <w:bCs/>
        </w:rPr>
        <w:t>2100 children</w:t>
      </w:r>
      <w:r>
        <w:t xml:space="preserve"> received Bikeability through our Innovation Fund projects, which were focused on children with special educational needs and disabilities.</w:t>
      </w:r>
    </w:p>
    <w:p w14:paraId="18D9442F" w14:textId="5186C707" w:rsidR="00007B08" w:rsidRDefault="00007B08" w:rsidP="00007B08">
      <w:pPr>
        <w:rPr>
          <w:b/>
          <w:bCs/>
        </w:rPr>
      </w:pPr>
      <w:r>
        <w:rPr>
          <w:b/>
          <w:bCs/>
        </w:rPr>
        <w:t xml:space="preserve">Environmental </w:t>
      </w:r>
      <w:r w:rsidR="00FE5AD8">
        <w:rPr>
          <w:b/>
          <w:bCs/>
        </w:rPr>
        <w:t xml:space="preserve">impact </w:t>
      </w:r>
    </w:p>
    <w:p w14:paraId="44F5634F" w14:textId="6F465B56" w:rsidR="00F847F8" w:rsidRDefault="004A1DE3" w:rsidP="00007B08">
      <w:r w:rsidRPr="00561CFB">
        <w:t xml:space="preserve">If every child who has taken part in Bikeability cycled to school for a year it would save </w:t>
      </w:r>
      <w:r w:rsidR="00561CFB" w:rsidRPr="00561CFB">
        <w:t xml:space="preserve">1.92 million tonnes of carbon from </w:t>
      </w:r>
      <w:proofErr w:type="gramStart"/>
      <w:r w:rsidR="00561CFB" w:rsidRPr="00561CFB">
        <w:t>car based</w:t>
      </w:r>
      <w:proofErr w:type="gramEnd"/>
      <w:r w:rsidR="00561CFB" w:rsidRPr="00561CFB">
        <w:t xml:space="preserve"> school commutes. </w:t>
      </w:r>
      <w:r w:rsidR="009179CD">
        <w:t>That’s the same as:</w:t>
      </w:r>
    </w:p>
    <w:p w14:paraId="7C67F667" w14:textId="62FD334B" w:rsidR="009179CD" w:rsidRDefault="00805A47" w:rsidP="009179CD">
      <w:pPr>
        <w:pStyle w:val="ListParagraph"/>
        <w:numPr>
          <w:ilvl w:val="0"/>
          <w:numId w:val="4"/>
        </w:numPr>
      </w:pPr>
      <w:r>
        <w:t>Powering 241,849 homes for a year</w:t>
      </w:r>
    </w:p>
    <w:p w14:paraId="5681F14C" w14:textId="4CC1A9A2" w:rsidR="008F1CCC" w:rsidRDefault="00805A47" w:rsidP="008F1CCC">
      <w:pPr>
        <w:pStyle w:val="ListParagraph"/>
        <w:numPr>
          <w:ilvl w:val="0"/>
          <w:numId w:val="4"/>
        </w:numPr>
      </w:pPr>
      <w:r>
        <w:t xml:space="preserve">Growing </w:t>
      </w:r>
      <w:r w:rsidR="008F1CCC">
        <w:t>31,747,365 trees for 10 years</w:t>
      </w:r>
    </w:p>
    <w:p w14:paraId="688F7250" w14:textId="6929D275" w:rsidR="00561CFB" w:rsidRDefault="00561CFB" w:rsidP="00007B08">
      <w:r>
        <w:t>If just one child swapped being driven for cycling to school, it would save half a tonne of carbon</w:t>
      </w:r>
      <w:r w:rsidR="009179CD">
        <w:t>.</w:t>
      </w:r>
    </w:p>
    <w:p w14:paraId="127B2B55" w14:textId="3B3482BE" w:rsidR="00E17BC4" w:rsidRPr="00561CFB" w:rsidRDefault="00E17BC4" w:rsidP="00E17BC4">
      <w:pPr>
        <w:pStyle w:val="ListParagraph"/>
        <w:numPr>
          <w:ilvl w:val="0"/>
          <w:numId w:val="5"/>
        </w:numPr>
      </w:pPr>
      <w:r>
        <w:t>G</w:t>
      </w:r>
      <w:r w:rsidRPr="00E17BC4">
        <w:t>rowing almost eight trees for ten years.</w:t>
      </w:r>
    </w:p>
    <w:p w14:paraId="329C26A6" w14:textId="77777777" w:rsidR="00CF0555" w:rsidRDefault="00CF0555" w:rsidP="00007B08">
      <w:pPr>
        <w:rPr>
          <w:b/>
          <w:bCs/>
        </w:rPr>
      </w:pPr>
    </w:p>
    <w:p w14:paraId="3EA94788" w14:textId="3BAE8E76" w:rsidR="00FE5AD8" w:rsidRPr="00007B08" w:rsidRDefault="00FE5AD8" w:rsidP="00007B08">
      <w:pPr>
        <w:rPr>
          <w:b/>
          <w:bCs/>
        </w:rPr>
      </w:pPr>
      <w:r>
        <w:rPr>
          <w:b/>
          <w:bCs/>
        </w:rPr>
        <w:lastRenderedPageBreak/>
        <w:t xml:space="preserve">Making the case for Bikeability </w:t>
      </w:r>
    </w:p>
    <w:p w14:paraId="00E8F9CA" w14:textId="0EC22F69" w:rsidR="00FA18C4" w:rsidRDefault="00FA18C4" w:rsidP="00FA18C4">
      <w:pPr>
        <w:pStyle w:val="ListParagraph"/>
        <w:numPr>
          <w:ilvl w:val="0"/>
          <w:numId w:val="3"/>
        </w:numPr>
      </w:pPr>
      <w:r w:rsidRPr="00FA18C4">
        <w:t>Only 14% of parents feel very confident to use the Highway Code to teach their children to cycle on the road</w:t>
      </w:r>
      <w:r>
        <w:t>.</w:t>
      </w:r>
      <w:r w:rsidR="00BE3F8D">
        <w:t xml:space="preserve"> (YouGov)</w:t>
      </w:r>
    </w:p>
    <w:p w14:paraId="510BCC09" w14:textId="282F148F" w:rsidR="000138FF" w:rsidRPr="000138FF" w:rsidRDefault="00BE3F8D" w:rsidP="00F847F8">
      <w:pPr>
        <w:pStyle w:val="ListParagraph"/>
        <w:numPr>
          <w:ilvl w:val="0"/>
          <w:numId w:val="3"/>
        </w:numPr>
      </w:pPr>
      <w:r>
        <w:t>74% of people recognise the importance of professional cycle training. (YouGov)</w:t>
      </w:r>
    </w:p>
    <w:sectPr w:rsidR="000138FF" w:rsidRPr="0001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7DAE"/>
    <w:multiLevelType w:val="hybridMultilevel"/>
    <w:tmpl w:val="A7A2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F05"/>
    <w:multiLevelType w:val="hybridMultilevel"/>
    <w:tmpl w:val="5C72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6CF2"/>
    <w:multiLevelType w:val="hybridMultilevel"/>
    <w:tmpl w:val="BD50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6521"/>
    <w:multiLevelType w:val="hybridMultilevel"/>
    <w:tmpl w:val="CB7E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6AD3"/>
    <w:multiLevelType w:val="hybridMultilevel"/>
    <w:tmpl w:val="DDF2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2091"/>
    <w:multiLevelType w:val="hybridMultilevel"/>
    <w:tmpl w:val="797290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6405637">
    <w:abstractNumId w:val="4"/>
  </w:num>
  <w:num w:numId="2" w16cid:durableId="1804540182">
    <w:abstractNumId w:val="5"/>
  </w:num>
  <w:num w:numId="3" w16cid:durableId="431361863">
    <w:abstractNumId w:val="3"/>
  </w:num>
  <w:num w:numId="4" w16cid:durableId="474415531">
    <w:abstractNumId w:val="2"/>
  </w:num>
  <w:num w:numId="5" w16cid:durableId="117648130">
    <w:abstractNumId w:val="0"/>
  </w:num>
  <w:num w:numId="6" w16cid:durableId="192907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FF"/>
    <w:rsid w:val="00007B08"/>
    <w:rsid w:val="000138FF"/>
    <w:rsid w:val="002E188E"/>
    <w:rsid w:val="004A1DE3"/>
    <w:rsid w:val="00561CFB"/>
    <w:rsid w:val="007E2BB6"/>
    <w:rsid w:val="00805A47"/>
    <w:rsid w:val="008F1CCC"/>
    <w:rsid w:val="009179CD"/>
    <w:rsid w:val="00972286"/>
    <w:rsid w:val="00BE3F8D"/>
    <w:rsid w:val="00C454D5"/>
    <w:rsid w:val="00CF0555"/>
    <w:rsid w:val="00D40C1E"/>
    <w:rsid w:val="00E17BC4"/>
    <w:rsid w:val="00EB430F"/>
    <w:rsid w:val="00F847F8"/>
    <w:rsid w:val="00FA18C4"/>
    <w:rsid w:val="00FE5AD8"/>
    <w:rsid w:val="330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D2E4"/>
  <w15:chartTrackingRefBased/>
  <w15:docId w15:val="{E6C45908-475F-410F-93C1-433FFDE1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8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30F"/>
    <w:pPr>
      <w:ind w:left="720"/>
      <w:contextualSpacing/>
    </w:pPr>
  </w:style>
  <w:style w:type="paragraph" w:customStyle="1" w:styleId="paragraph">
    <w:name w:val="paragraph"/>
    <w:basedOn w:val="Normal"/>
    <w:rsid w:val="002E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188E"/>
  </w:style>
  <w:style w:type="character" w:customStyle="1" w:styleId="eop">
    <w:name w:val="eop"/>
    <w:basedOn w:val="DefaultParagraphFont"/>
    <w:rsid w:val="002E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bikeabilitytrus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ad16388642d5974086da395d1e892c8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df0fd100f01eb12aa7818543bacd3f5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B092F-1A9E-4221-81C2-4146041EB474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2.xml><?xml version="1.0" encoding="utf-8"?>
<ds:datastoreItem xmlns:ds="http://schemas.openxmlformats.org/officeDocument/2006/customXml" ds:itemID="{6399C126-D02F-4ADA-898F-374FE9E3D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1B3AA-9B0D-42C2-BCD9-2823109C1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McGreevy</dc:creator>
  <cp:keywords/>
  <dc:description/>
  <cp:lastModifiedBy>Sally Jones</cp:lastModifiedBy>
  <cp:revision>18</cp:revision>
  <dcterms:created xsi:type="dcterms:W3CDTF">2022-10-10T15:15:00Z</dcterms:created>
  <dcterms:modified xsi:type="dcterms:W3CDTF">2022-10-11T13:34:00Z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